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ru-RU"/>
        </w:rPr>
      </w:r>
    </w:p>
    <w:p>
      <w:pPr>
        <w:pStyle w:val="706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706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103"/>
        </w:tabs>
        <w:spacing/>
        <w:ind/>
        <w:jc w:val="center"/>
        <w:rPr>
          <w:b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Напрями діяльності та заходи </w:t>
      </w:r>
      <w:r>
        <w:rPr>
          <w:b/>
          <w:sz w:val="28"/>
          <w:szCs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b/>
          <w:sz w:val="28"/>
          <w:szCs w:val="28"/>
        </w:rPr>
      </w:r>
    </w:p>
    <w:p>
      <w:pPr>
        <w:pBdr/>
        <w:tabs>
          <w:tab w:val="left" w:leader="none" w:pos="5103"/>
        </w:tabs>
        <w:spacing/>
        <w:ind w:firstLine="708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tbl>
      <w:tblPr>
        <w:tblW w:w="1545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4110"/>
        <w:gridCol w:w="1276"/>
        <w:gridCol w:w="1984"/>
        <w:gridCol w:w="1417"/>
        <w:gridCol w:w="1702"/>
        <w:gridCol w:w="2693"/>
      </w:tblGrid>
      <w:tr>
        <w:trPr>
          <w:trHeight w:val="1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  <w:br/>
              <w:t xml:space="preserve">з/п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 напряму діяльності (пріоритетні завдання)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Перелік заходів програми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Строк виконання заходу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Виконавці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Джерела фінансування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Орієнтовний обсяг фінансування (</w:t>
            </w:r>
            <w:r>
              <w:rPr>
                <w:b/>
                <w:sz w:val="22"/>
                <w:szCs w:val="22"/>
              </w:rPr>
              <w:t xml:space="preserve">тис. грн</w:t>
            </w:r>
            <w:r>
              <w:rPr>
                <w:b/>
                <w:sz w:val="22"/>
                <w:szCs w:val="22"/>
              </w:rPr>
              <w:t xml:space="preserve">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Очікувані результати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73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Дослідження щодо виявлення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1.1. </w:t>
            </w:r>
            <w:r>
              <w:rPr>
                <w:sz w:val="22"/>
                <w:szCs w:val="22"/>
              </w:rPr>
              <w:t xml:space="preserve">Вжиття заходів</w:t>
            </w:r>
            <w:r>
              <w:rPr>
                <w:sz w:val="22"/>
                <w:szCs w:val="22"/>
              </w:rPr>
              <w:t xml:space="preserve"> щодо виявлення об’єктів культурної спадщини, розташованих на територі</w:t>
            </w:r>
            <w:r>
              <w:rPr>
                <w:sz w:val="22"/>
                <w:szCs w:val="22"/>
              </w:rPr>
              <w:t xml:space="preserve">ї Чернігівської області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адміністрації, органи місцевого самоврядування</w:t>
            </w:r>
            <w:r>
              <w:rPr>
                <w:sz w:val="22"/>
                <w:szCs w:val="22"/>
              </w:rPr>
              <w:t xml:space="preserve"> (за згодою)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Виявлено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 xml:space="preserve">об’єктів, які потенційно можуть бути об’єктами культурної спадщини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69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1.2. </w:t>
            </w:r>
            <w:r>
              <w:rPr>
                <w:sz w:val="22"/>
                <w:szCs w:val="22"/>
              </w:rPr>
              <w:t xml:space="preserve">Організація роботи щодо п</w:t>
            </w:r>
            <w:r>
              <w:rPr>
                <w:sz w:val="22"/>
                <w:szCs w:val="22"/>
              </w:rPr>
              <w:t xml:space="preserve">роведення дослідження виявлених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49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 Створення Карток виявлення об’єктів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2.1. </w:t>
            </w:r>
            <w:r>
              <w:rPr>
                <w:sz w:val="22"/>
                <w:szCs w:val="22"/>
              </w:rPr>
              <w:t xml:space="preserve">Виготовлення облікових карток на об’єкти, які виявлено в процесі досліджень і щодо яких подано Картку виявлення об’єкта культурної спадщини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- 100,0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18 облікових карток та</w:t>
            </w:r>
            <w:r>
              <w:rPr>
                <w:sz w:val="22"/>
                <w:szCs w:val="22"/>
              </w:rPr>
              <w:t xml:space="preserve"> подан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на розгляд Консультативної ради </w:t>
            </w:r>
            <w:r>
              <w:rPr>
                <w:sz w:val="22"/>
                <w:szCs w:val="22"/>
              </w:rPr>
              <w:t xml:space="preserve">при Департаменті культури і туризму, національностей та релігій Чернігівської обласної державної адміністрації, з метою внесення їх до Переліку </w:t>
            </w:r>
            <w:r>
              <w:rPr>
                <w:sz w:val="22"/>
                <w:szCs w:val="22"/>
              </w:rPr>
              <w:t xml:space="preserve">об’єктів культурної спадщини</w:t>
            </w:r>
            <w:r>
              <w:rPr>
                <w:sz w:val="22"/>
                <w:szCs w:val="22"/>
              </w:rPr>
              <w:t xml:space="preserve"> Чернігівської області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Занесення об’єктів архітектури, містобудування та садово-паркового мистецтва до Державного реєстру нерухомих пам’яток України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 Підготовка пакету документів для занесення до Державного реєстру нерухомих пам’яток України пам’яток архітектури, містобудування та садово-паркового мистецтва, які взяті на облік до набрання чинності Закону України «Про охорону культурної спадщини»</w:t>
            </w:r>
            <w:r>
              <w:rPr>
                <w:rFonts w:eastAsia="MS Mincho"/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 Державного реєстру нерухомих пам’яток України </w:t>
            </w:r>
            <w:r>
              <w:rPr>
                <w:sz w:val="22"/>
                <w:szCs w:val="22"/>
              </w:rPr>
              <w:t xml:space="preserve">занесено 90</w:t>
            </w:r>
            <w:r>
              <w:rPr>
                <w:sz w:val="22"/>
                <w:szCs w:val="22"/>
              </w:rPr>
              <w:t xml:space="preserve"> пам’ят</w:t>
            </w:r>
            <w:r>
              <w:rPr>
                <w:sz w:val="22"/>
                <w:szCs w:val="22"/>
              </w:rPr>
              <w:t xml:space="preserve">ок</w:t>
            </w:r>
            <w:r>
              <w:rPr>
                <w:sz w:val="22"/>
                <w:szCs w:val="22"/>
              </w:rPr>
              <w:t xml:space="preserve"> архітектури, містобудування та садово-паркового мистецтва, які взяті на облік до набрання чинності Закону України «Про охорону культурної спадщини»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 Підготовка пакету документів для занесення до Державного реєстру нерухомих пам’яток України об’єктів культурної спадщини відповідно до Закону України «Про охорону культурної спадщини»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 Державного реєстру нерухомих пам’яток України </w:t>
            </w:r>
            <w:r>
              <w:rPr>
                <w:sz w:val="22"/>
                <w:szCs w:val="22"/>
              </w:rPr>
              <w:t xml:space="preserve">занесено 18 </w:t>
            </w:r>
            <w:r>
              <w:rPr>
                <w:sz w:val="22"/>
                <w:szCs w:val="22"/>
              </w:rPr>
              <w:t xml:space="preserve">виявлен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об’єкт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культурної спадщини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69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Проведення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 Проведення постійного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адміністрації, районні державні адміністрації, органи місцевого самоврядування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кладен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інформаційн</w:t>
            </w: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 довідки на всі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  <w:t xml:space="preserve"> (щорічно)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 Проведення періодичного моніторингу пам’яток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Складено </w:t>
            </w:r>
            <w:r>
              <w:rPr>
                <w:sz w:val="22"/>
                <w:szCs w:val="22"/>
              </w:rPr>
              <w:t xml:space="preserve">328 </w:t>
            </w:r>
            <w:r>
              <w:rPr>
                <w:sz w:val="22"/>
                <w:szCs w:val="22"/>
              </w:rPr>
              <w:t xml:space="preserve">акт</w:t>
            </w:r>
            <w:r>
              <w:rPr>
                <w:sz w:val="22"/>
                <w:szCs w:val="22"/>
              </w:rPr>
              <w:t xml:space="preserve">ів візуального обстеження на</w:t>
            </w:r>
            <w:r>
              <w:rPr>
                <w:sz w:val="22"/>
                <w:szCs w:val="22"/>
              </w:rPr>
              <w:t xml:space="preserve">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Формування облікових справ на пам’ятки архітектури, містобудування та </w:t>
            </w:r>
            <w:r>
              <w:rPr>
                <w:sz w:val="22"/>
                <w:szCs w:val="22"/>
              </w:rPr>
              <w:t xml:space="preserve">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 Виготовлення паспортів на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</w:t>
            </w:r>
            <w:r>
              <w:rPr>
                <w:sz w:val="22"/>
                <w:szCs w:val="22"/>
              </w:rPr>
              <w:t xml:space="preserve">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- 100,0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- 100,0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</w:t>
            </w:r>
            <w:r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 xml:space="preserve">паспорт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на пам’ятки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5.2. Формування облікових справ на пам’ятки архітектури, містобудування та 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Сформовано </w:t>
            </w:r>
            <w:r>
              <w:rPr>
                <w:sz w:val="22"/>
                <w:szCs w:val="22"/>
              </w:rPr>
              <w:t xml:space="preserve">193 </w:t>
            </w:r>
            <w:r>
              <w:rPr>
                <w:sz w:val="22"/>
                <w:szCs w:val="22"/>
              </w:rPr>
              <w:t xml:space="preserve">паперов</w:t>
            </w:r>
            <w:r>
              <w:rPr>
                <w:sz w:val="22"/>
                <w:szCs w:val="22"/>
              </w:rPr>
              <w:t xml:space="preserve">і та електронні</w:t>
            </w:r>
            <w:r>
              <w:rPr>
                <w:sz w:val="22"/>
                <w:szCs w:val="22"/>
              </w:rPr>
              <w:t xml:space="preserve"> обліков</w:t>
            </w:r>
            <w:r>
              <w:rPr>
                <w:sz w:val="22"/>
                <w:szCs w:val="22"/>
              </w:rPr>
              <w:t xml:space="preserve">і</w:t>
            </w:r>
            <w:r>
              <w:rPr>
                <w:sz w:val="22"/>
                <w:szCs w:val="22"/>
              </w:rPr>
              <w:t xml:space="preserve"> справ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пам’ятки архітектури, містобудування та садово-паркового мистецтва місцевого значення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та встановлення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 Виготовлення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2025-2030 роки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106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та встановлено </w:t>
            </w:r>
            <w:r>
              <w:rPr>
                <w:sz w:val="22"/>
                <w:szCs w:val="22"/>
              </w:rPr>
              <w:t xml:space="preserve">328 </w:t>
            </w:r>
            <w:r>
              <w:rPr>
                <w:sz w:val="22"/>
                <w:szCs w:val="22"/>
              </w:rPr>
              <w:t xml:space="preserve">охоронн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щок</w:t>
            </w:r>
            <w:r>
              <w:rPr>
                <w:sz w:val="22"/>
                <w:szCs w:val="22"/>
              </w:rPr>
              <w:t xml:space="preserve"> і охоронн</w:t>
            </w:r>
            <w:r>
              <w:rPr>
                <w:sz w:val="22"/>
                <w:szCs w:val="22"/>
              </w:rPr>
              <w:t xml:space="preserve">их</w:t>
            </w:r>
            <w:r>
              <w:rPr>
                <w:sz w:val="22"/>
                <w:szCs w:val="22"/>
              </w:rPr>
              <w:t xml:space="preserve"> знак</w:t>
            </w:r>
            <w:r>
              <w:rPr>
                <w:sz w:val="22"/>
                <w:szCs w:val="22"/>
              </w:rPr>
              <w:t xml:space="preserve">ів</w:t>
            </w:r>
            <w:r>
              <w:rPr>
                <w:sz w:val="22"/>
                <w:szCs w:val="22"/>
              </w:rPr>
              <w:t xml:space="preserve">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 Встановлення охоронних дощок і охоронних знаків на пам’ятках архітектури, містобудування та садово-паркового 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  <w:lang w:val="ru-RU"/>
              </w:rPr>
              <w:t xml:space="preserve">50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50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науково-проєктної документації на проведення протиаварійних, консерваційних та реставраційних робіт та проходження експертизи на пам’ятках архітектури, містобудування та садово-паркового </w:t>
            </w:r>
            <w:r>
              <w:rPr>
                <w:sz w:val="22"/>
                <w:szCs w:val="22"/>
              </w:rPr>
              <w:t xml:space="preserve">мистецтва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 Виготовлення науково-проєктної документації на реставрацію пам’ятки архітектури національного значення «Головний будинок садиби Покорщина (дерев’яний)», охоронний № 250101/1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кошти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 на реставрацію пам’ятки архітектури національного значення «Головний будинок садиби Покорщина (дерев’яний)», охоронний № 250101/1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196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7.2. Виготовлення науково-проєктної документації на реставрацію пам’ятки архітектури національного значення «Кам’яниця садиби Покорщина», охоронний № 250101/2 та проходження </w:t>
            </w:r>
            <w:r>
              <w:rPr>
                <w:sz w:val="22"/>
                <w:szCs w:val="22"/>
              </w:rPr>
              <w:t xml:space="preserve">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</w:t>
            </w:r>
            <w:r>
              <w:rPr>
                <w:sz w:val="22"/>
                <w:szCs w:val="22"/>
              </w:rPr>
              <w:t xml:space="preserve">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кошти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</w:t>
            </w:r>
            <w:r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на реставрацію пам’ятки архітектури національного значення </w:t>
            </w:r>
            <w:r>
              <w:rPr>
                <w:sz w:val="22"/>
                <w:szCs w:val="22"/>
              </w:rPr>
              <w:t xml:space="preserve">«Кам’яниця садиби Покорщина», охоронний № 250101/2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 Виготовлення науково-проєктної документації на реставрацію пам’ятки архітектури місцевого значення «Губернська земська управа», охоронний № 2-Чг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</w:t>
            </w:r>
            <w:r>
              <w:rPr>
                <w:sz w:val="22"/>
                <w:szCs w:val="22"/>
              </w:rPr>
              <w:t xml:space="preserve"> на реставрацію пам’ятки архітектури місцевого значення «Губернська земська управа», охоронний № 2-Чг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 Виготовлення науково-проєктної документації </w:t>
            </w:r>
            <w:r>
              <w:rPr>
                <w:sz w:val="22"/>
                <w:szCs w:val="22"/>
              </w:rPr>
              <w:t xml:space="preserve">на реставрацію </w:t>
            </w:r>
            <w:r>
              <w:rPr>
                <w:sz w:val="22"/>
                <w:szCs w:val="22"/>
              </w:rPr>
              <w:t xml:space="preserve">пам’ят</w:t>
            </w:r>
            <w:r>
              <w:rPr>
                <w:sz w:val="22"/>
                <w:szCs w:val="22"/>
                <w:lang w:val="ru-RU"/>
              </w:rPr>
              <w:t xml:space="preserve">ки</w:t>
            </w:r>
            <w:r>
              <w:rPr>
                <w:sz w:val="22"/>
                <w:szCs w:val="22"/>
              </w:rPr>
              <w:t xml:space="preserve"> архітектури місцевого значення «Кінотеатр ім. Щорса», охоронний № 76-Чг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кошти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</w:t>
            </w:r>
            <w:r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реставрацію пам’ятки </w:t>
            </w:r>
            <w:r>
              <w:rPr>
                <w:sz w:val="22"/>
                <w:szCs w:val="22"/>
              </w:rPr>
              <w:t xml:space="preserve">архітектури місцевого значення «Кінотеатр ім. Щорса», охоронний № 76-Чг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7.5.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Виготовлення науково-проєктної документації для проведення консерваційних робіт на пам’ятці архітектури місцевого значення «Воскресенська церква», охоронний № 73-Чг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</w:t>
            </w:r>
            <w:r>
              <w:rPr>
                <w:sz w:val="22"/>
                <w:szCs w:val="22"/>
              </w:rPr>
              <w:t xml:space="preserve"> для проведення консерваційних робіт на пам’ятці архітектури місцевого значення «Воскресенська церква», охоронний № 73-Чг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7.6. Виготовлення науково-проєктної документації на реставрацію пам’ятки архітектури національного значення «Тріумфальна брама (Тріумфальна арка)», охоронний №250084 та проходження експертизи проєкту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містобудування та архітектури Чернігівської обласної державної </w:t>
            </w:r>
            <w:r>
              <w:rPr>
                <w:sz w:val="22"/>
                <w:szCs w:val="22"/>
              </w:rPr>
              <w:t xml:space="preserve">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</w:t>
            </w:r>
            <w:r>
              <w:rPr>
                <w:sz w:val="22"/>
                <w:szCs w:val="22"/>
              </w:rPr>
              <w:t xml:space="preserve"> документаці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 на реставрацію пам’ятки архітектури національного значення «Тріумфальна брама </w:t>
            </w:r>
            <w:r>
              <w:rPr>
                <w:sz w:val="22"/>
                <w:szCs w:val="22"/>
              </w:rPr>
              <w:t xml:space="preserve">(Тріумфальна арка)», охоронний №250084 та пройдено експертизу проєкту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844" w:type="dxa"/>
            <w:textDirection w:val="lrTb"/>
            <w:noWrap w:val="false"/>
          </w:tcPr>
          <w:p>
            <w:pPr>
              <w:pBdr/>
              <w:spacing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Реставрація. Протиаварійні роботи на пам’ятці архітектури місцевого значення «Губернська земська управа» (охоронний № 2-Чг) по вул. Шевченка, 7, м. Чернігів, Чернігівської області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8.1. </w:t>
            </w:r>
            <w:r>
              <w:rPr>
                <w:sz w:val="22"/>
                <w:szCs w:val="22"/>
              </w:rPr>
              <w:t xml:space="preserve">Проведення протиаварійних робіт на пам'ятці, у тому числі виготовлення науково-проектної документації на протиаварійні роботи та проходження експертизи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рік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Управління капітального будівництва Чернігівської обласної державної адміністрації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07" w:lef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514,0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Виготовлено науково-проєктну документацію </w:t>
            </w:r>
            <w:r>
              <w:rPr>
                <w:sz w:val="22"/>
                <w:szCs w:val="22"/>
              </w:rPr>
              <w:t xml:space="preserve">«Реставрація. Протиаварійні роботи на пам’ятці архітектури місцевого значення «Губернська земська управа» (охоронний № 2-Чг) по вул. Шевченка, 7, м. Чернігів, Чернігівської області», пройдено експертизу проєкту та проведено протиаварійні роботи на пам’ятці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gridSpan w:val="5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 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Обласний бюджет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Bdr/>
              <w:spacing/>
              <w:ind w:firstLine="107" w:lef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</w:t>
            </w:r>
            <w:r>
              <w:rPr>
                <w:sz w:val="22"/>
                <w:szCs w:val="22"/>
              </w:rPr>
              <w:t xml:space="preserve">874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</w:t>
            </w:r>
            <w:r>
              <w:rPr>
                <w:sz w:val="22"/>
                <w:szCs w:val="22"/>
                <w:lang w:val="ru-RU"/>
              </w:rPr>
              <w:t xml:space="preserve">360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р. - </w:t>
            </w:r>
            <w:r>
              <w:rPr>
                <w:sz w:val="22"/>
                <w:szCs w:val="22"/>
                <w:lang w:val="ru-RU"/>
              </w:rPr>
              <w:t xml:space="preserve">1860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36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2029 р. - </w:t>
            </w:r>
            <w:r>
              <w:rPr>
                <w:sz w:val="22"/>
                <w:szCs w:val="22"/>
                <w:lang w:val="ru-RU"/>
              </w:rPr>
              <w:t xml:space="preserve">860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 р. - </w:t>
            </w:r>
            <w:r>
              <w:rPr>
                <w:sz w:val="22"/>
                <w:szCs w:val="22"/>
                <w:lang w:val="ru-RU"/>
              </w:rPr>
              <w:t xml:space="preserve">856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gridSpan w:val="5"/>
            <w:tcBorders/>
            <w:tcW w:w="9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Інші кошти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р. - 300,0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р. - 300,0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р. - </w:t>
            </w:r>
            <w:r>
              <w:rPr>
                <w:sz w:val="22"/>
                <w:szCs w:val="22"/>
                <w:lang w:val="ru-RU"/>
              </w:rPr>
              <w:t xml:space="preserve">15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85"/>
        </w:trPr>
        <w:tc>
          <w:tcPr>
            <w:gridSpan w:val="6"/>
            <w:tcBorders/>
            <w:tcW w:w="1105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Всього по Програмі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17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7270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В. о.</w:t>
      </w:r>
      <w:r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правління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містобудування та архітектури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Чернігівської обл</w:t>
      </w:r>
      <w:r>
        <w:rPr>
          <w:sz w:val="28"/>
          <w:szCs w:val="28"/>
        </w:rPr>
        <w:t xml:space="preserve">асної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держ</w:t>
      </w:r>
      <w:r>
        <w:rPr>
          <w:sz w:val="28"/>
          <w:szCs w:val="28"/>
        </w:rPr>
        <w:t xml:space="preserve">авної </w:t>
      </w:r>
      <w:r>
        <w:rPr>
          <w:sz w:val="28"/>
          <w:szCs w:val="28"/>
        </w:rPr>
        <w:t xml:space="preserve"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Сергій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КУРЕНЯ</w:t>
      </w:r>
      <w:r>
        <w:rPr>
          <w:sz w:val="28"/>
          <w:szCs w:val="28"/>
        </w:rPr>
      </w:r>
    </w:p>
    <w:sectPr>
      <w:headerReference w:type="even" r:id="rId9"/>
      <w:footnotePr/>
      <w:endnotePr/>
      <w:type w:val="nextPage"/>
      <w:pgSz w:h="11906" w:orient="landscape" w:w="16838"/>
      <w:pgMar w:top="1134" w:right="962" w:bottom="993" w:left="1418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egoe UI">
    <w:panose1 w:val="020B0502040504020204"/>
  </w:font>
  <w:font w:name="Calibri">
    <w:panose1 w:val="020F0502020204030204"/>
  </w:font>
  <w:font w:name="Cambria">
    <w:panose1 w:val="0204050305040603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framePr w:hAnchor="margin" w:vAnchor="text" w:wrap="around" w:xAlign="center" w:y="1"/>
      <w:pBdr/>
      <w:spacing/>
      <w:ind/>
      <w:rPr>
        <w:rStyle w:val="691"/>
      </w:rPr>
    </w:pPr>
    <w:r>
      <w:rPr>
        <w:rStyle w:val="691"/>
      </w:rPr>
      <w:fldChar w:fldCharType="begin"/>
    </w:r>
    <w:r>
      <w:rPr>
        <w:rStyle w:val="691"/>
      </w:rPr>
      <w:instrText xml:space="preserve">PAGE  </w:instrText>
    </w:r>
    <w:r>
      <w:rPr>
        <w:rStyle w:val="691"/>
      </w:rPr>
      <w:fldChar w:fldCharType="end"/>
    </w:r>
    <w:r>
      <w:rPr>
        <w:rStyle w:val="691"/>
      </w:rPr>
    </w:r>
  </w:p>
  <w:p>
    <w:pPr>
      <w:pStyle w:val="69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683"/>
    <w:next w:val="68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3"/>
    <w:next w:val="68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3"/>
    <w:next w:val="68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7"/>
    <w:link w:val="6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7"/>
    <w:link w:val="7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3"/>
    <w:next w:val="68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3"/>
    <w:next w:val="68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3"/>
    <w:next w:val="68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7"/>
    <w:link w:val="690"/>
    <w:uiPriority w:val="99"/>
    <w:pPr>
      <w:pBdr/>
      <w:spacing/>
      <w:ind/>
    </w:pPr>
  </w:style>
  <w:style w:type="character" w:styleId="178">
    <w:name w:val="Footer Char"/>
    <w:basedOn w:val="687"/>
    <w:link w:val="692"/>
    <w:uiPriority w:val="99"/>
    <w:pPr>
      <w:pBdr/>
      <w:spacing/>
      <w:ind/>
    </w:pPr>
  </w:style>
  <w:style w:type="paragraph" w:styleId="179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qFormat/>
    <w:pPr>
      <w:pBdr/>
      <w:spacing/>
      <w:ind/>
    </w:pPr>
    <w:rPr>
      <w:lang w:eastAsia="ru-RU"/>
    </w:rPr>
  </w:style>
  <w:style w:type="paragraph" w:styleId="684">
    <w:name w:val="Heading 1"/>
    <w:basedOn w:val="683"/>
    <w:next w:val="683"/>
    <w:qFormat/>
    <w:pPr>
      <w:keepNext w:val="true"/>
      <w:pBdr/>
      <w:spacing/>
      <w:ind w:hanging="11"/>
      <w:jc w:val="center"/>
      <w:outlineLvl w:val="0"/>
    </w:pPr>
    <w:rPr>
      <w:b/>
      <w:i/>
      <w:sz w:val="28"/>
    </w:rPr>
  </w:style>
  <w:style w:type="paragraph" w:styleId="685">
    <w:name w:val="Heading 2"/>
    <w:basedOn w:val="683"/>
    <w:next w:val="683"/>
    <w:link w:val="695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686">
    <w:name w:val="Heading 3"/>
    <w:basedOn w:val="683"/>
    <w:next w:val="683"/>
    <w:link w:val="700"/>
    <w:unhideWhenUsed/>
    <w:qFormat/>
    <w:pPr>
      <w:keepNext w:val="true"/>
      <w:pBdr/>
      <w:spacing w:after="60" w:before="240"/>
      <w:ind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paragraph" w:styleId="690">
    <w:name w:val="Header"/>
    <w:basedOn w:val="68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1">
    <w:name w:val="page number"/>
    <w:basedOn w:val="687"/>
    <w:pPr>
      <w:pBdr/>
      <w:spacing/>
      <w:ind/>
    </w:pPr>
  </w:style>
  <w:style w:type="paragraph" w:styleId="692">
    <w:name w:val="Footer"/>
    <w:basedOn w:val="683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693">
    <w:name w:val="Body Text"/>
    <w:basedOn w:val="683"/>
    <w:link w:val="694"/>
    <w:pPr>
      <w:pBdr/>
      <w:spacing/>
      <w:ind/>
      <w:jc w:val="both"/>
    </w:pPr>
    <w:rPr>
      <w:sz w:val="28"/>
      <w:szCs w:val="28"/>
    </w:rPr>
  </w:style>
  <w:style w:type="character" w:styleId="694" w:customStyle="1">
    <w:name w:val="Основной текст Знак"/>
    <w:link w:val="693"/>
    <w:pPr>
      <w:pBdr/>
      <w:spacing/>
      <w:ind/>
    </w:pPr>
    <w:rPr>
      <w:sz w:val="28"/>
      <w:szCs w:val="28"/>
      <w:lang w:val="uk-UA" w:eastAsia="ru-RU" w:bidi="ar-SA"/>
    </w:rPr>
  </w:style>
  <w:style w:type="character" w:styleId="695" w:customStyle="1">
    <w:name w:val="Заголовок 2 Знак"/>
    <w:link w:val="685"/>
    <w:semiHidden/>
    <w:pPr>
      <w:pBdr/>
      <w:spacing/>
      <w:ind/>
    </w:pPr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69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697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698">
    <w:name w:val="Balloon Text"/>
    <w:basedOn w:val="683"/>
    <w:link w:val="699"/>
    <w:pPr>
      <w:pBdr/>
      <w:spacing/>
      <w:ind/>
    </w:pPr>
    <w:rPr>
      <w:rFonts w:ascii="Segoe UI" w:hAnsi="Segoe UI"/>
      <w:sz w:val="18"/>
      <w:szCs w:val="18"/>
    </w:rPr>
  </w:style>
  <w:style w:type="character" w:styleId="699" w:customStyle="1">
    <w:name w:val="Текст выноски Знак"/>
    <w:link w:val="698"/>
    <w:pPr>
      <w:pBdr/>
      <w:spacing/>
      <w:ind/>
    </w:pPr>
    <w:rPr>
      <w:rFonts w:ascii="Segoe UI" w:hAnsi="Segoe UI" w:cs="Segoe UI"/>
      <w:sz w:val="18"/>
      <w:szCs w:val="18"/>
      <w:lang w:eastAsia="ru-RU"/>
    </w:rPr>
  </w:style>
  <w:style w:type="character" w:styleId="700" w:customStyle="1">
    <w:name w:val="Заголовок 3 Знак"/>
    <w:link w:val="686"/>
    <w:pPr>
      <w:pBdr/>
      <w:spacing/>
      <w:ind/>
    </w:pPr>
    <w:rPr>
      <w:rFonts w:ascii="Cambria" w:hAnsi="Cambria"/>
      <w:b/>
      <w:bCs/>
      <w:sz w:val="26"/>
      <w:szCs w:val="26"/>
      <w:lang w:val="ru-RU" w:eastAsia="ru-RU"/>
    </w:rPr>
  </w:style>
  <w:style w:type="character" w:styleId="701">
    <w:name w:val="Emphasis"/>
    <w:uiPriority w:val="20"/>
    <w:qFormat/>
    <w:pPr>
      <w:pBdr/>
      <w:spacing/>
      <w:ind/>
    </w:pPr>
    <w:rPr>
      <w:i/>
      <w:iCs/>
    </w:rPr>
  </w:style>
  <w:style w:type="table" w:styleId="702">
    <w:name w:val="Table Grid"/>
    <w:basedOn w:val="688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3">
    <w:name w:val="Title"/>
    <w:basedOn w:val="683"/>
    <w:link w:val="704"/>
    <w:qFormat/>
    <w:pPr>
      <w:pBdr/>
      <w:spacing/>
      <w:ind/>
      <w:jc w:val="center"/>
    </w:pPr>
    <w:rPr>
      <w:b/>
      <w:bCs/>
      <w:sz w:val="24"/>
      <w:szCs w:val="24"/>
    </w:rPr>
  </w:style>
  <w:style w:type="character" w:styleId="704" w:customStyle="1">
    <w:name w:val="Название Знак"/>
    <w:basedOn w:val="687"/>
    <w:link w:val="703"/>
    <w:pPr>
      <w:pBdr/>
      <w:spacing/>
      <w:ind/>
    </w:pPr>
    <w:rPr>
      <w:b/>
      <w:bCs/>
      <w:sz w:val="24"/>
      <w:szCs w:val="24"/>
      <w:lang w:eastAsia="ru-RU"/>
    </w:rPr>
  </w:style>
  <w:style w:type="paragraph" w:styleId="70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paragraph" w:styleId="706" w:customStyle="1">
    <w:name w:val="Default"/>
    <w:pPr>
      <w:pBdr/>
      <w:spacing/>
      <w:ind/>
    </w:pPr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FA5A-4E9F-4F96-A4F8-9FD3736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ADM</Company>
  <DocSecurity>0</DocSecurity>
  <HyperlinksChanged>false</HyperlinksChanged>
  <LinksUpToDate>false</LinksUpToDate>
  <ScaleCrop>false</ScaleCrop>
  <SharedDoc>false</SharedDoc>
  <Template>Novy1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Anonymous</cp:lastModifiedBy>
  <cp:revision>5</cp:revision>
  <dcterms:created xsi:type="dcterms:W3CDTF">2025-01-31T08:40:00Z</dcterms:created>
  <dcterms:modified xsi:type="dcterms:W3CDTF">2025-02-05T07:02:32Z</dcterms:modified>
</cp:coreProperties>
</file>